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665F" w:rsidRPr="00F63AE9" w:rsidRDefault="00D538BF">
      <w:pPr>
        <w:pStyle w:val="dog-base-sangria"/>
        <w:pBdr>
          <w:top w:val="single" w:sz="4" w:space="1" w:color="000000"/>
          <w:left w:val="single" w:sz="4" w:space="4" w:color="000000"/>
          <w:bottom w:val="single" w:sz="4" w:space="1" w:color="000000"/>
          <w:right w:val="single" w:sz="4" w:space="4" w:color="000000"/>
        </w:pBdr>
        <w:spacing w:beforeAutospacing="0" w:after="0" w:afterAutospacing="0" w:line="360" w:lineRule="auto"/>
        <w:jc w:val="both"/>
        <w:textAlignment w:val="baseline"/>
        <w:rPr>
          <w:lang w:val="gl-ES"/>
        </w:rPr>
      </w:pPr>
      <w:r w:rsidRPr="00F63AE9">
        <w:rPr>
          <w:rFonts w:ascii="Xunta Sans" w:hAnsi="Xunta Sans"/>
          <w:b/>
          <w:sz w:val="22"/>
          <w:szCs w:val="22"/>
          <w:lang w:val="gl-ES"/>
        </w:rPr>
        <w:t xml:space="preserve">CORPO DE AUXILIARES DE CARÁCTER TÉCNICO DE ADMINISTRACIÓN ESPECIAL DA ADMINISTRACIÓN XERAL DA COMUNIDADE AUTÓNOMA DE GALICIA, ESCALA AUXILIAR DE LABORATORIO (SUBGRUPO C2). </w:t>
      </w:r>
    </w:p>
    <w:p w:rsidR="00C1665F" w:rsidRPr="00F63AE9" w:rsidRDefault="00C1665F">
      <w:pPr>
        <w:pStyle w:val="dog-base-sangria"/>
        <w:spacing w:beforeAutospacing="0" w:after="0" w:afterAutospacing="0" w:line="360" w:lineRule="auto"/>
        <w:jc w:val="both"/>
        <w:textAlignment w:val="baseline"/>
        <w:rPr>
          <w:rFonts w:ascii="Xunta Sans" w:hAnsi="Xunta Sans"/>
          <w:b/>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b/>
          <w:sz w:val="22"/>
          <w:szCs w:val="22"/>
          <w:lang w:val="gl-ES"/>
        </w:rPr>
        <w:t>PARTE COMÚN</w:t>
      </w:r>
    </w:p>
    <w:p w:rsidR="00C1665F" w:rsidRPr="00F63AE9" w:rsidRDefault="00C1665F">
      <w:pPr>
        <w:pStyle w:val="dog-base-sangria"/>
        <w:spacing w:beforeAutospacing="0" w:after="0" w:afterAutospacing="0" w:line="360" w:lineRule="auto"/>
        <w:jc w:val="both"/>
        <w:textAlignment w:val="baseline"/>
        <w:rPr>
          <w:rFonts w:ascii="Xunta Sans" w:hAnsi="Xunta Sans"/>
          <w:b/>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1. A Constitución española de 1978: títulos preliminar, I, II y VIII.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Tema 2. Lei orgánica 1/1981, do 6 de abril, do Estatuto de autonomía de Galicia: títulos preliminar, I e II. Competencias: exclusivas, desenvolvemento lexislativo e execución.</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3. Lei 39/2015, do 1 de outubro, do procedemento administrativo común das administracións públicas: títulos preliminar, I, II, III, IV e V.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4. Lei 1/2016, do 18 de xaneiro, de transparencia e bo goberno: título preliminar, título I: capítulos I, II, IV e V e título II: seccións 1, 2 e 3 do capítulo I.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5. Lei 2/2015, do 29 de abril, do emprego público de Galicia: títulos I, III, IV e V.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6. Decreto lexislativo 2/2015, do 12 de febreiro, polo que se aproba o texto refundido das disposicións legais da Comunidade Autónoma de Galicia en materia de igualdade: título preliminar, título I: capítulos I e II.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7. Real decreto lexislativo 1/2013, do 29 de novembro, polo que se aproba o texto refundido da Lei xeral de dereitos das persoas con discapacidade e da súa inclusión social: título preliminar; capítulo V, sección 1ª, e capítulo VIII do título I e título II.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Tema 8. Lei 31/1995, do 8 de novembro, de prevención de riscos laborais: capítulos I, II e III.</w:t>
      </w:r>
    </w:p>
    <w:p w:rsidR="00C1665F" w:rsidRPr="00F63AE9" w:rsidRDefault="00C1665F">
      <w:pPr>
        <w:pStyle w:val="dog-base-sangria"/>
        <w:spacing w:beforeAutospacing="0" w:after="0" w:afterAutospacing="0" w:line="360" w:lineRule="auto"/>
        <w:jc w:val="both"/>
        <w:textAlignment w:val="baseline"/>
        <w:rPr>
          <w:rFonts w:ascii="Xunta Sans" w:hAnsi="Xunta Sans"/>
          <w:b/>
          <w:sz w:val="22"/>
          <w:szCs w:val="22"/>
          <w:lang w:val="gl-ES"/>
        </w:rPr>
      </w:pPr>
    </w:p>
    <w:p w:rsidR="00C1665F" w:rsidRPr="00F63AE9" w:rsidRDefault="00C1665F">
      <w:pPr>
        <w:pStyle w:val="dog-base-sangria"/>
        <w:spacing w:beforeAutospacing="0" w:after="0" w:afterAutospacing="0" w:line="360" w:lineRule="auto"/>
        <w:jc w:val="both"/>
        <w:textAlignment w:val="baseline"/>
        <w:rPr>
          <w:rFonts w:ascii="Xunta Sans" w:hAnsi="Xunta Sans"/>
          <w:b/>
          <w:sz w:val="22"/>
          <w:szCs w:val="22"/>
          <w:lang w:val="gl-ES"/>
        </w:rPr>
      </w:pPr>
    </w:p>
    <w:p w:rsidR="00C1665F" w:rsidRPr="00F63AE9" w:rsidRDefault="00C1665F">
      <w:pPr>
        <w:pStyle w:val="dog-base-sangria"/>
        <w:spacing w:beforeAutospacing="0" w:after="0" w:afterAutospacing="0" w:line="360" w:lineRule="auto"/>
        <w:jc w:val="both"/>
        <w:textAlignment w:val="baseline"/>
        <w:rPr>
          <w:rFonts w:ascii="Xunta Sans" w:hAnsi="Xunta Sans"/>
          <w:b/>
          <w:sz w:val="22"/>
          <w:szCs w:val="22"/>
          <w:lang w:val="gl-ES"/>
        </w:rPr>
      </w:pPr>
    </w:p>
    <w:p w:rsidR="00C1665F" w:rsidRPr="00F63AE9" w:rsidRDefault="00C1665F">
      <w:pPr>
        <w:pStyle w:val="dog-base-sangria"/>
        <w:spacing w:beforeAutospacing="0" w:after="0" w:afterAutospacing="0" w:line="360" w:lineRule="auto"/>
        <w:jc w:val="both"/>
        <w:textAlignment w:val="baseline"/>
        <w:rPr>
          <w:rFonts w:ascii="Xunta Sans" w:hAnsi="Xunta Sans"/>
          <w:b/>
          <w:sz w:val="22"/>
          <w:szCs w:val="22"/>
          <w:lang w:val="gl-ES"/>
        </w:rPr>
      </w:pPr>
    </w:p>
    <w:p w:rsidR="00C1665F" w:rsidRPr="00F63AE9" w:rsidRDefault="00C1665F">
      <w:pPr>
        <w:pStyle w:val="dog-base-sangria"/>
        <w:spacing w:beforeAutospacing="0" w:after="0" w:afterAutospacing="0" w:line="360" w:lineRule="auto"/>
        <w:jc w:val="both"/>
        <w:textAlignment w:val="baseline"/>
        <w:rPr>
          <w:rFonts w:ascii="Xunta Sans" w:hAnsi="Xunta Sans"/>
          <w:b/>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b/>
          <w:sz w:val="22"/>
          <w:szCs w:val="22"/>
          <w:lang w:val="gl-ES"/>
        </w:rPr>
        <w:lastRenderedPageBreak/>
        <w:t>PARTE ESPECÍFICA</w:t>
      </w:r>
    </w:p>
    <w:p w:rsidR="00C1665F" w:rsidRPr="00F63AE9" w:rsidRDefault="00C1665F">
      <w:pPr>
        <w:pStyle w:val="dog-base-sangria"/>
        <w:spacing w:beforeAutospacing="0" w:after="0" w:afterAutospacing="0" w:line="360" w:lineRule="auto"/>
        <w:jc w:val="both"/>
        <w:textAlignment w:val="baseline"/>
        <w:rPr>
          <w:rFonts w:ascii="Xunta Sans" w:hAnsi="Xunta Sans"/>
          <w:b/>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Tema 1. Reactivos químicos: tipificación e pureza dos reactivos utilizados no laboratorio. Clasificación dos produtos químicos en función das súas características de risco. Etiquetaxe: Pictogramas de perigo, Frases H e EUH de identificación de perigo, Frases P: consellos de Prudencia (prevención, resposta e eliminación). Palabras de advertencia. Fichas de seguridade. Importancia destes datos na manipulación e almacenamento correctos de reactivos.</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2. Prevención e medidas de seguridade nos laboratorios. Riscos laborais nos laboratorios químicos e </w:t>
      </w:r>
      <w:r w:rsidR="00964E63">
        <w:rPr>
          <w:rFonts w:ascii="Xunta Sans" w:hAnsi="Xunta Sans"/>
          <w:sz w:val="22"/>
          <w:szCs w:val="22"/>
          <w:lang w:val="gl-ES"/>
        </w:rPr>
        <w:t xml:space="preserve">micro biolóxicos, </w:t>
      </w:r>
      <w:r w:rsidRPr="00F63AE9">
        <w:rPr>
          <w:rFonts w:ascii="Xunta Sans" w:hAnsi="Xunta Sans"/>
          <w:sz w:val="22"/>
          <w:szCs w:val="22"/>
          <w:lang w:val="gl-ES"/>
        </w:rPr>
        <w:t xml:space="preserve">Medidas que se tomarán en caso dos accidentes máis habituais. Primeiros auxilios. Xestión de residuos no laboratorio: clasificación, recollida e eliminación.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3. Sistema de Calidade no laboratorio de ensaio: Norma UNE-EN ISO/IEC 17025. Requisitos técnicos e de xestión. Rexistros e </w:t>
      </w:r>
      <w:proofErr w:type="spellStart"/>
      <w:r w:rsidRPr="00F63AE9">
        <w:rPr>
          <w:rFonts w:ascii="Xunta Sans" w:hAnsi="Xunta Sans"/>
          <w:sz w:val="22"/>
          <w:szCs w:val="22"/>
          <w:lang w:val="gl-ES"/>
        </w:rPr>
        <w:t>rastrexabilidade</w:t>
      </w:r>
      <w:proofErr w:type="spellEnd"/>
      <w:r w:rsidRPr="00F63AE9">
        <w:rPr>
          <w:rFonts w:ascii="Xunta Sans" w:hAnsi="Xunta Sans"/>
          <w:sz w:val="22"/>
          <w:szCs w:val="22"/>
          <w:lang w:val="gl-ES"/>
        </w:rPr>
        <w:t xml:space="preserve"> documental. Patróns e materiais de referencia. </w:t>
      </w:r>
      <w:proofErr w:type="spellStart"/>
      <w:r w:rsidRPr="00F63AE9">
        <w:rPr>
          <w:rFonts w:ascii="Xunta Sans" w:hAnsi="Xunta Sans"/>
          <w:sz w:val="22"/>
          <w:szCs w:val="22"/>
          <w:lang w:val="gl-ES"/>
        </w:rPr>
        <w:t>Rastrexabilidade</w:t>
      </w:r>
      <w:proofErr w:type="spellEnd"/>
      <w:r w:rsidRPr="00F63AE9">
        <w:rPr>
          <w:rFonts w:ascii="Xunta Sans" w:hAnsi="Xunta Sans"/>
          <w:sz w:val="22"/>
          <w:szCs w:val="22"/>
          <w:lang w:val="gl-ES"/>
        </w:rPr>
        <w:t xml:space="preserve"> </w:t>
      </w:r>
      <w:proofErr w:type="spellStart"/>
      <w:r w:rsidRPr="00F63AE9">
        <w:rPr>
          <w:rFonts w:ascii="Xunta Sans" w:hAnsi="Xunta Sans"/>
          <w:sz w:val="22"/>
          <w:szCs w:val="22"/>
          <w:lang w:val="gl-ES"/>
        </w:rPr>
        <w:t>metrológica</w:t>
      </w:r>
      <w:proofErr w:type="spellEnd"/>
      <w:r w:rsidRPr="00F63AE9">
        <w:rPr>
          <w:rFonts w:ascii="Xunta Sans" w:hAnsi="Xunta Sans"/>
          <w:sz w:val="22"/>
          <w:szCs w:val="22"/>
          <w:lang w:val="gl-ES"/>
        </w:rPr>
        <w:t xml:space="preserve">. Xestión de equipos e reactivos. Cualificación do persoal. Control de calidade analítica. Exercicios de </w:t>
      </w:r>
      <w:proofErr w:type="spellStart"/>
      <w:r w:rsidRPr="00F63AE9">
        <w:rPr>
          <w:rFonts w:ascii="Xunta Sans" w:hAnsi="Xunta Sans"/>
          <w:sz w:val="22"/>
          <w:szCs w:val="22"/>
          <w:lang w:val="gl-ES"/>
        </w:rPr>
        <w:t>intercomparación</w:t>
      </w:r>
      <w:proofErr w:type="spellEnd"/>
      <w:r w:rsidRPr="00F63AE9">
        <w:rPr>
          <w:rFonts w:ascii="Xunta Sans" w:hAnsi="Xunta Sans"/>
          <w:sz w:val="22"/>
          <w:szCs w:val="22"/>
          <w:lang w:val="gl-ES"/>
        </w:rPr>
        <w:t xml:space="preserve">.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4. Coidado do material de uso xeral nos laboratorios. Conceptos xerais de calibración e verificación de equipos. </w:t>
      </w:r>
      <w:proofErr w:type="spellStart"/>
      <w:r w:rsidRPr="00F63AE9">
        <w:rPr>
          <w:rFonts w:ascii="Xunta Sans" w:hAnsi="Xunta Sans"/>
          <w:sz w:val="22"/>
          <w:szCs w:val="22"/>
          <w:lang w:val="gl-ES"/>
        </w:rPr>
        <w:t>Rastrexabilidade</w:t>
      </w:r>
      <w:proofErr w:type="spellEnd"/>
      <w:r w:rsidRPr="00F63AE9">
        <w:rPr>
          <w:rFonts w:ascii="Xunta Sans" w:hAnsi="Xunta Sans"/>
          <w:sz w:val="22"/>
          <w:szCs w:val="22"/>
          <w:lang w:val="gl-ES"/>
        </w:rPr>
        <w:t xml:space="preserve">. Material para análise volumétrico: descrición, limpeza e aplicación. Material para análise gravimétrico: descrición, limpeza e aplicación. Material para análise </w:t>
      </w:r>
      <w:proofErr w:type="spellStart"/>
      <w:r w:rsidRPr="00F63AE9">
        <w:rPr>
          <w:rFonts w:ascii="Xunta Sans" w:hAnsi="Xunta Sans"/>
          <w:sz w:val="22"/>
          <w:szCs w:val="22"/>
          <w:lang w:val="gl-ES"/>
        </w:rPr>
        <w:t>microbiológicos</w:t>
      </w:r>
      <w:proofErr w:type="spellEnd"/>
      <w:r w:rsidRPr="00F63AE9">
        <w:rPr>
          <w:rFonts w:ascii="Xunta Sans" w:hAnsi="Xunta Sans"/>
          <w:sz w:val="22"/>
          <w:szCs w:val="22"/>
          <w:lang w:val="gl-ES"/>
        </w:rPr>
        <w:t xml:space="preserve">: descrición, limpeza e aplicación.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5. Preparación de disolucións. Disolucións patrón e substancias de tipo primario. Disolucións valoradas. Conservación das disolucións. Expresión da concentración dunha disolución. </w:t>
      </w:r>
      <w:proofErr w:type="spellStart"/>
      <w:r w:rsidRPr="00F63AE9">
        <w:rPr>
          <w:rFonts w:ascii="Xunta Sans" w:hAnsi="Xunta Sans"/>
          <w:sz w:val="22"/>
          <w:szCs w:val="22"/>
          <w:lang w:val="gl-ES"/>
        </w:rPr>
        <w:t>Rastrexabilidade</w:t>
      </w:r>
      <w:proofErr w:type="spellEnd"/>
      <w:r w:rsidRPr="00F63AE9">
        <w:rPr>
          <w:rFonts w:ascii="Xunta Sans" w:hAnsi="Xunta Sans"/>
          <w:sz w:val="22"/>
          <w:szCs w:val="22"/>
          <w:lang w:val="gl-ES"/>
        </w:rPr>
        <w:t xml:space="preserve">.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6. Concepto de </w:t>
      </w:r>
      <w:proofErr w:type="spellStart"/>
      <w:r w:rsidRPr="00F63AE9">
        <w:rPr>
          <w:rFonts w:ascii="Xunta Sans" w:hAnsi="Xunta Sans"/>
          <w:sz w:val="22"/>
          <w:szCs w:val="22"/>
          <w:lang w:val="gl-ES"/>
        </w:rPr>
        <w:t>pH</w:t>
      </w:r>
      <w:proofErr w:type="spellEnd"/>
      <w:r w:rsidRPr="00F63AE9">
        <w:rPr>
          <w:rFonts w:ascii="Xunta Sans" w:hAnsi="Xunta Sans"/>
          <w:sz w:val="22"/>
          <w:szCs w:val="22"/>
          <w:lang w:val="gl-ES"/>
        </w:rPr>
        <w:t xml:space="preserve">. Disolucións neutras, acedas e alcalinas. Disolucións tampón. Medidas do </w:t>
      </w:r>
      <w:proofErr w:type="spellStart"/>
      <w:r w:rsidRPr="00F63AE9">
        <w:rPr>
          <w:rFonts w:ascii="Xunta Sans" w:hAnsi="Xunta Sans"/>
          <w:sz w:val="22"/>
          <w:szCs w:val="22"/>
          <w:lang w:val="gl-ES"/>
        </w:rPr>
        <w:t>pH</w:t>
      </w:r>
      <w:proofErr w:type="spellEnd"/>
      <w:r w:rsidRPr="00F63AE9">
        <w:rPr>
          <w:rFonts w:ascii="Xunta Sans" w:hAnsi="Xunta Sans"/>
          <w:sz w:val="22"/>
          <w:szCs w:val="22"/>
          <w:lang w:val="gl-ES"/>
        </w:rPr>
        <w:t xml:space="preserve">. Coidado e manexo de eléctrodos. Análise volumétricos, gravimetría, </w:t>
      </w:r>
      <w:proofErr w:type="spellStart"/>
      <w:r w:rsidRPr="00F63AE9">
        <w:rPr>
          <w:rFonts w:ascii="Xunta Sans" w:hAnsi="Xunta Sans"/>
          <w:sz w:val="22"/>
          <w:szCs w:val="22"/>
          <w:lang w:val="gl-ES"/>
        </w:rPr>
        <w:t>potenciometrías</w:t>
      </w:r>
      <w:proofErr w:type="spellEnd"/>
      <w:r w:rsidRPr="00F63AE9">
        <w:rPr>
          <w:rFonts w:ascii="Xunta Sans" w:hAnsi="Xunta Sans"/>
          <w:sz w:val="22"/>
          <w:szCs w:val="22"/>
          <w:lang w:val="gl-ES"/>
        </w:rPr>
        <w:t xml:space="preserve"> e </w:t>
      </w:r>
      <w:proofErr w:type="spellStart"/>
      <w:r w:rsidRPr="00F63AE9">
        <w:rPr>
          <w:rFonts w:ascii="Xunta Sans" w:hAnsi="Xunta Sans"/>
          <w:sz w:val="22"/>
          <w:szCs w:val="22"/>
          <w:lang w:val="gl-ES"/>
        </w:rPr>
        <w:t>conductimetrías</w:t>
      </w:r>
      <w:proofErr w:type="spellEnd"/>
      <w:r w:rsidRPr="00F63AE9">
        <w:rPr>
          <w:rFonts w:ascii="Xunta Sans" w:hAnsi="Xunta Sans"/>
          <w:sz w:val="22"/>
          <w:szCs w:val="22"/>
          <w:lang w:val="gl-ES"/>
        </w:rPr>
        <w:t xml:space="preserve">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B44964" w:rsidRDefault="00493FEE">
      <w:pPr>
        <w:pStyle w:val="dog-base-sangria"/>
        <w:spacing w:beforeAutospacing="0" w:after="0" w:afterAutospacing="0" w:line="360" w:lineRule="auto"/>
        <w:jc w:val="both"/>
        <w:textAlignment w:val="baseline"/>
        <w:rPr>
          <w:rFonts w:ascii="Xunta Sans" w:hAnsi="Xunta Sans"/>
          <w:sz w:val="22"/>
          <w:szCs w:val="22"/>
          <w:lang w:val="gl-ES"/>
        </w:rPr>
      </w:pPr>
      <w:r w:rsidRPr="00B44964">
        <w:rPr>
          <w:rFonts w:ascii="Xunta Sans" w:hAnsi="Xunta Sans"/>
          <w:sz w:val="22"/>
          <w:szCs w:val="22"/>
          <w:lang w:val="gl-ES"/>
        </w:rPr>
        <w:lastRenderedPageBreak/>
        <w:t xml:space="preserve">Tema 7. Fundamentos básicos de técnicas analíticas: </w:t>
      </w:r>
      <w:proofErr w:type="spellStart"/>
      <w:r w:rsidRPr="00B44964">
        <w:rPr>
          <w:rFonts w:ascii="Xunta Sans" w:hAnsi="Xunta Sans"/>
          <w:sz w:val="22"/>
          <w:szCs w:val="22"/>
          <w:lang w:val="gl-ES"/>
        </w:rPr>
        <w:t>microbiolóxicas</w:t>
      </w:r>
      <w:proofErr w:type="spellEnd"/>
      <w:r w:rsidRPr="00B44964">
        <w:rPr>
          <w:rFonts w:ascii="Xunta Sans" w:hAnsi="Xunta Sans"/>
          <w:sz w:val="22"/>
          <w:szCs w:val="22"/>
          <w:lang w:val="gl-ES"/>
        </w:rPr>
        <w:t xml:space="preserve">, físico-químicas, </w:t>
      </w:r>
      <w:proofErr w:type="spellStart"/>
      <w:r w:rsidRPr="00B44964">
        <w:rPr>
          <w:rFonts w:ascii="Xunta Sans" w:hAnsi="Xunta Sans"/>
          <w:sz w:val="22"/>
          <w:szCs w:val="22"/>
          <w:lang w:val="gl-ES"/>
        </w:rPr>
        <w:t>espectrometría</w:t>
      </w:r>
      <w:proofErr w:type="spellEnd"/>
      <w:r w:rsidRPr="00B44964">
        <w:rPr>
          <w:rFonts w:ascii="Xunta Sans" w:hAnsi="Xunta Sans"/>
          <w:sz w:val="22"/>
          <w:szCs w:val="22"/>
          <w:lang w:val="gl-ES"/>
        </w:rPr>
        <w:t xml:space="preserve"> infravermella, visible e ultravioleta; por inxección de fluxo, cromatografía líquida e de gases, ICP, espectrometría de masas, ELISA e PCR en tempo real</w:t>
      </w:r>
      <w:r w:rsidR="00F63AE9" w:rsidRPr="00B44964">
        <w:rPr>
          <w:rFonts w:ascii="Xunta Sans" w:hAnsi="Xunta Sans"/>
          <w:sz w:val="22"/>
          <w:szCs w:val="22"/>
          <w:lang w:val="gl-ES"/>
        </w:rPr>
        <w:t>.</w:t>
      </w: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Tema 8. Preparación e conservación de mostras para análise agraria</w:t>
      </w:r>
      <w:bookmarkStart w:id="0" w:name="_GoBack"/>
      <w:bookmarkEnd w:id="0"/>
      <w:r w:rsidRPr="00F63AE9">
        <w:rPr>
          <w:rFonts w:ascii="Xunta Sans" w:hAnsi="Xunta Sans"/>
          <w:sz w:val="22"/>
          <w:szCs w:val="22"/>
          <w:lang w:val="gl-ES"/>
        </w:rPr>
        <w:t xml:space="preserve">, ou </w:t>
      </w:r>
      <w:proofErr w:type="spellStart"/>
      <w:r w:rsidRPr="00F63AE9">
        <w:rPr>
          <w:rFonts w:ascii="Xunta Sans" w:hAnsi="Xunta Sans"/>
          <w:sz w:val="22"/>
          <w:szCs w:val="22"/>
          <w:lang w:val="gl-ES"/>
        </w:rPr>
        <w:t>agroalimentaria</w:t>
      </w:r>
      <w:proofErr w:type="spellEnd"/>
      <w:r w:rsidRPr="00F63AE9">
        <w:rPr>
          <w:rFonts w:ascii="Xunta Sans" w:hAnsi="Xunta Sans"/>
          <w:sz w:val="22"/>
          <w:szCs w:val="22"/>
          <w:lang w:val="gl-ES"/>
        </w:rPr>
        <w:t xml:space="preserve">: requirimentos segundo o tipo de mostra e o tipo de análise. Mostras de alimentos, mostras de pensos e as súas materias primas, mostras de forraxes, mostras de ensilaxes, mostras de fertilizantes orgánicos e inorgánicos, mostras de chans, mostras de material vexetal para análise foliar, mostras para análises de residuos de </w:t>
      </w:r>
      <w:proofErr w:type="spellStart"/>
      <w:r w:rsidRPr="00F63AE9">
        <w:rPr>
          <w:rFonts w:ascii="Xunta Sans" w:hAnsi="Xunta Sans"/>
          <w:sz w:val="22"/>
          <w:szCs w:val="22"/>
          <w:lang w:val="gl-ES"/>
        </w:rPr>
        <w:t>pesticidas</w:t>
      </w:r>
      <w:proofErr w:type="spellEnd"/>
      <w:r w:rsidRPr="00F63AE9">
        <w:rPr>
          <w:rFonts w:ascii="Xunta Sans" w:hAnsi="Xunta Sans"/>
          <w:sz w:val="22"/>
          <w:szCs w:val="22"/>
          <w:lang w:val="gl-ES"/>
        </w:rPr>
        <w:t xml:space="preserve">.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Tema 9. Preparación e conservación de mostras para análises no eido da saúde pública: requirimentos de almacenamento, conservación e preparación segundo o tipo de mostra e o tipo de análise (</w:t>
      </w:r>
      <w:proofErr w:type="spellStart"/>
      <w:r w:rsidRPr="00F63AE9">
        <w:rPr>
          <w:rFonts w:ascii="Xunta Sans" w:hAnsi="Xunta Sans"/>
          <w:sz w:val="22"/>
          <w:szCs w:val="22"/>
          <w:lang w:val="gl-ES"/>
        </w:rPr>
        <w:t>microbiolóxico</w:t>
      </w:r>
      <w:proofErr w:type="spellEnd"/>
      <w:r w:rsidRPr="00F63AE9">
        <w:rPr>
          <w:rFonts w:ascii="Xunta Sans" w:hAnsi="Xunta Sans"/>
          <w:sz w:val="22"/>
          <w:szCs w:val="22"/>
          <w:lang w:val="gl-ES"/>
        </w:rPr>
        <w:t xml:space="preserve"> ou químico). Mostras de augas de consumo humano, augas de baño, </w:t>
      </w:r>
      <w:proofErr w:type="spellStart"/>
      <w:r w:rsidRPr="00F63AE9">
        <w:rPr>
          <w:rFonts w:ascii="Xunta Sans" w:hAnsi="Xunta Sans"/>
          <w:sz w:val="22"/>
          <w:szCs w:val="22"/>
          <w:lang w:val="gl-ES"/>
        </w:rPr>
        <w:t>aguas</w:t>
      </w:r>
      <w:proofErr w:type="spellEnd"/>
      <w:r w:rsidRPr="00F63AE9">
        <w:rPr>
          <w:rFonts w:ascii="Xunta Sans" w:hAnsi="Xunta Sans"/>
          <w:sz w:val="22"/>
          <w:szCs w:val="22"/>
          <w:lang w:val="gl-ES"/>
        </w:rPr>
        <w:t xml:space="preserve"> de piscina, </w:t>
      </w:r>
      <w:proofErr w:type="spellStart"/>
      <w:r w:rsidRPr="00F63AE9">
        <w:rPr>
          <w:rFonts w:ascii="Xunta Sans" w:hAnsi="Xunta Sans"/>
          <w:sz w:val="22"/>
          <w:szCs w:val="22"/>
          <w:lang w:val="gl-ES"/>
        </w:rPr>
        <w:t>aguas</w:t>
      </w:r>
      <w:proofErr w:type="spellEnd"/>
      <w:r w:rsidRPr="00F63AE9">
        <w:rPr>
          <w:rFonts w:ascii="Xunta Sans" w:hAnsi="Xunta Sans"/>
          <w:sz w:val="22"/>
          <w:szCs w:val="22"/>
          <w:lang w:val="gl-ES"/>
        </w:rPr>
        <w:t xml:space="preserve"> mineromedicinais, augas de instalacións susceptibles de propagar a </w:t>
      </w:r>
      <w:proofErr w:type="spellStart"/>
      <w:r w:rsidRPr="00F63AE9">
        <w:rPr>
          <w:rFonts w:ascii="Xunta Sans" w:hAnsi="Xunta Sans"/>
          <w:sz w:val="22"/>
          <w:szCs w:val="22"/>
          <w:lang w:val="gl-ES"/>
        </w:rPr>
        <w:t>lexionelose</w:t>
      </w:r>
      <w:proofErr w:type="spellEnd"/>
      <w:r w:rsidRPr="00F63AE9">
        <w:rPr>
          <w:rFonts w:ascii="Xunta Sans" w:hAnsi="Xunta Sans"/>
          <w:sz w:val="22"/>
          <w:szCs w:val="22"/>
          <w:lang w:val="gl-ES"/>
        </w:rPr>
        <w:t xml:space="preserve">, alimentos de orixe animal e vexetal.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964E63" w:rsidRDefault="00D538BF">
      <w:pPr>
        <w:pStyle w:val="dog-base-sangria"/>
        <w:spacing w:beforeAutospacing="0" w:after="0" w:afterAutospacing="0" w:line="360" w:lineRule="auto"/>
        <w:jc w:val="both"/>
        <w:textAlignment w:val="baseline"/>
        <w:rPr>
          <w:rFonts w:ascii="Xunta Sans" w:hAnsi="Xunta Sans"/>
          <w:sz w:val="22"/>
          <w:szCs w:val="22"/>
          <w:lang w:val="gl-ES"/>
        </w:rPr>
      </w:pPr>
      <w:r w:rsidRPr="00F63AE9">
        <w:rPr>
          <w:rFonts w:ascii="Xunta Sans" w:hAnsi="Xunta Sans"/>
          <w:sz w:val="22"/>
          <w:szCs w:val="22"/>
          <w:lang w:val="gl-ES"/>
        </w:rPr>
        <w:t xml:space="preserve">Tema 10. Preparación, obtención (necropsias) e conservación de mostras para a súa análise desde o punto de vista da sanidade animal: requirimentos segundo o tipo de mostra e o tipo de análise. Mostras obtidas de animais vivos ou mortos (incluídos os fetos) e os seus produtos e de alimentos e augas destinados para uso animal: ouriñes, leite, pel, pelos, plumas, sangue, feces, vísceras, </w:t>
      </w:r>
      <w:proofErr w:type="spellStart"/>
      <w:r w:rsidRPr="00F63AE9">
        <w:rPr>
          <w:rFonts w:ascii="Xunta Sans" w:hAnsi="Xunta Sans"/>
          <w:sz w:val="22"/>
          <w:szCs w:val="22"/>
          <w:lang w:val="gl-ES"/>
        </w:rPr>
        <w:t>secreciones</w:t>
      </w:r>
      <w:proofErr w:type="spellEnd"/>
      <w:r w:rsidRPr="00F63AE9">
        <w:rPr>
          <w:rFonts w:ascii="Xunta Sans" w:hAnsi="Xunta Sans"/>
          <w:sz w:val="22"/>
          <w:szCs w:val="22"/>
          <w:lang w:val="gl-ES"/>
        </w:rPr>
        <w:t>, exsudados, soro sanguíneo, contido gástrico, cebos sospeitosos, auga, pensos, materias primas para alimentos, etc. Mostras para análises</w:t>
      </w:r>
      <w:r w:rsidR="00493FEE" w:rsidRPr="00F63AE9">
        <w:rPr>
          <w:rFonts w:ascii="Xunta Sans" w:hAnsi="Xunta Sans"/>
          <w:sz w:val="22"/>
          <w:szCs w:val="22"/>
          <w:lang w:val="gl-ES"/>
        </w:rPr>
        <w:t xml:space="preserve"> moleculares</w:t>
      </w:r>
      <w:r w:rsidRPr="00F63AE9">
        <w:rPr>
          <w:rFonts w:ascii="Xunta Sans" w:hAnsi="Xunta Sans"/>
          <w:sz w:val="22"/>
          <w:szCs w:val="22"/>
          <w:lang w:val="gl-ES"/>
        </w:rPr>
        <w:t xml:space="preserve"> bacteriolóxicas, </w:t>
      </w:r>
      <w:proofErr w:type="spellStart"/>
      <w:r w:rsidR="003A77BC">
        <w:rPr>
          <w:rFonts w:ascii="Xunta Sans" w:hAnsi="Xunta Sans"/>
          <w:sz w:val="22"/>
          <w:szCs w:val="22"/>
          <w:lang w:val="gl-ES"/>
        </w:rPr>
        <w:t>virolóxicos</w:t>
      </w:r>
      <w:proofErr w:type="spellEnd"/>
      <w:r w:rsidRPr="00F63AE9">
        <w:rPr>
          <w:rFonts w:ascii="Xunta Sans" w:hAnsi="Xunta Sans"/>
          <w:sz w:val="22"/>
          <w:szCs w:val="22"/>
          <w:lang w:val="gl-ES"/>
        </w:rPr>
        <w:t xml:space="preserve"> parasitolóxicos, serolóxicos, </w:t>
      </w:r>
      <w:r w:rsidR="003A77BC">
        <w:rPr>
          <w:rFonts w:ascii="Xunta Sans" w:hAnsi="Xunta Sans"/>
          <w:sz w:val="22"/>
          <w:szCs w:val="22"/>
          <w:lang w:val="gl-ES"/>
        </w:rPr>
        <w:t>anatomopatolóxicos</w:t>
      </w:r>
      <w:r w:rsidR="003A77BC">
        <w:rPr>
          <w:rFonts w:ascii="Xunta Sans" w:hAnsi="Xunta Sans"/>
          <w:sz w:val="22"/>
          <w:szCs w:val="22"/>
          <w:lang w:val="gl-ES"/>
        </w:rPr>
        <w:t>,</w:t>
      </w:r>
      <w:r w:rsidR="003A77BC" w:rsidRPr="00F63AE9" w:rsidDel="003A77BC">
        <w:rPr>
          <w:rFonts w:ascii="Xunta Sans" w:hAnsi="Xunta Sans"/>
          <w:sz w:val="22"/>
          <w:szCs w:val="22"/>
          <w:lang w:val="gl-ES"/>
        </w:rPr>
        <w:t xml:space="preserve"> </w:t>
      </w:r>
      <w:r w:rsidRPr="00F63AE9">
        <w:rPr>
          <w:rFonts w:ascii="Xunta Sans" w:hAnsi="Xunta Sans"/>
          <w:sz w:val="22"/>
          <w:szCs w:val="22"/>
          <w:lang w:val="gl-ES"/>
        </w:rPr>
        <w:t xml:space="preserve">toxicolóxicos e químicos.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D538BF">
      <w:pPr>
        <w:pStyle w:val="dog-base-sangria"/>
        <w:spacing w:beforeAutospacing="0" w:after="0" w:afterAutospacing="0" w:line="360" w:lineRule="auto"/>
        <w:jc w:val="both"/>
        <w:textAlignment w:val="baseline"/>
        <w:rPr>
          <w:lang w:val="gl-ES"/>
        </w:rPr>
      </w:pPr>
      <w:r w:rsidRPr="00F63AE9">
        <w:rPr>
          <w:rFonts w:ascii="Xunta Sans" w:hAnsi="Xunta Sans"/>
          <w:sz w:val="22"/>
          <w:szCs w:val="22"/>
          <w:lang w:val="gl-ES"/>
        </w:rPr>
        <w:t xml:space="preserve">Tema 11. Preparación e conservación de mostras para a súa análise desde o punto de vista ambiental. Mostras de auga. Toma de mostras de líquidos en movemento. Toma de mostras de líquidos en repouso. Toma de mostras de sedimentos. Toma de mostras de material </w:t>
      </w:r>
      <w:proofErr w:type="spellStart"/>
      <w:r w:rsidRPr="00F63AE9">
        <w:rPr>
          <w:rFonts w:ascii="Xunta Sans" w:hAnsi="Xunta Sans"/>
          <w:sz w:val="22"/>
          <w:szCs w:val="22"/>
          <w:lang w:val="gl-ES"/>
        </w:rPr>
        <w:t>particulado</w:t>
      </w:r>
      <w:proofErr w:type="spellEnd"/>
      <w:r w:rsidRPr="00F63AE9">
        <w:rPr>
          <w:rFonts w:ascii="Xunta Sans" w:hAnsi="Xunta Sans"/>
          <w:sz w:val="22"/>
          <w:szCs w:val="22"/>
          <w:lang w:val="gl-ES"/>
        </w:rPr>
        <w:t xml:space="preserve"> do aire ambiente. Manipulación, etiquetaxe e almacenamento. Fixación, lavado e descarte en mostras biolóxicas de bentos (</w:t>
      </w:r>
      <w:proofErr w:type="spellStart"/>
      <w:r w:rsidRPr="00F63AE9">
        <w:rPr>
          <w:rFonts w:ascii="Xunta Sans" w:hAnsi="Xunta Sans"/>
          <w:sz w:val="22"/>
          <w:szCs w:val="22"/>
          <w:lang w:val="gl-ES"/>
        </w:rPr>
        <w:t>macroinvertebrados</w:t>
      </w:r>
      <w:proofErr w:type="spellEnd"/>
      <w:r w:rsidRPr="00F63AE9">
        <w:rPr>
          <w:rFonts w:ascii="Xunta Sans" w:hAnsi="Xunta Sans"/>
          <w:sz w:val="22"/>
          <w:szCs w:val="22"/>
          <w:lang w:val="gl-ES"/>
        </w:rPr>
        <w:t xml:space="preserve">) fluvial e mariño. Preparación e fixación de mostras de </w:t>
      </w:r>
      <w:proofErr w:type="spellStart"/>
      <w:r w:rsidRPr="00F63AE9">
        <w:rPr>
          <w:rFonts w:ascii="Xunta Sans" w:hAnsi="Xunta Sans"/>
          <w:sz w:val="22"/>
          <w:szCs w:val="22"/>
          <w:lang w:val="gl-ES"/>
        </w:rPr>
        <w:t>fitobentos</w:t>
      </w:r>
      <w:proofErr w:type="spellEnd"/>
      <w:r w:rsidRPr="00F63AE9">
        <w:rPr>
          <w:rFonts w:ascii="Xunta Sans" w:hAnsi="Xunta Sans"/>
          <w:sz w:val="22"/>
          <w:szCs w:val="22"/>
          <w:lang w:val="gl-ES"/>
        </w:rPr>
        <w:t xml:space="preserve"> e fitoplancto. Medidas de seguridade, recuperación e tratamento de conservantes. </w:t>
      </w: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C1665F">
      <w:pPr>
        <w:pStyle w:val="dog-base-sangria"/>
        <w:spacing w:beforeAutospacing="0" w:after="0" w:afterAutospacing="0" w:line="360" w:lineRule="auto"/>
        <w:jc w:val="both"/>
        <w:textAlignment w:val="baseline"/>
        <w:rPr>
          <w:rFonts w:ascii="Xunta Sans" w:hAnsi="Xunta Sans"/>
          <w:sz w:val="22"/>
          <w:szCs w:val="22"/>
          <w:lang w:val="gl-ES"/>
        </w:rPr>
      </w:pPr>
    </w:p>
    <w:p w:rsidR="00C1665F" w:rsidRPr="00F63AE9" w:rsidRDefault="00C1665F">
      <w:pPr>
        <w:rPr>
          <w:lang w:val="gl-ES"/>
        </w:rPr>
      </w:pPr>
    </w:p>
    <w:sectPr w:rsidR="00C1665F" w:rsidRPr="00F63AE9">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Xunta Sans">
    <w:panose1 w:val="000005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65F"/>
    <w:rsid w:val="001043F3"/>
    <w:rsid w:val="003A77BC"/>
    <w:rsid w:val="00493FEE"/>
    <w:rsid w:val="00964E63"/>
    <w:rsid w:val="00B44964"/>
    <w:rsid w:val="00C1665F"/>
    <w:rsid w:val="00D538BF"/>
    <w:rsid w:val="00F40167"/>
    <w:rsid w:val="00F63AE9"/>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6FC52"/>
  <w15:docId w15:val="{58417B7A-1A88-4D70-9733-3A94E1F69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character" w:default="1" w:styleId="Tipodeletrapredefinidodopargrafo">
    <w:name w:val="Default Paragraph Font"/>
    <w:uiPriority w:val="1"/>
    <w:semiHidden/>
    <w:unhideWhenUsed/>
  </w:style>
  <w:style w:type="table" w:default="1" w:styleId="Tboanormal">
    <w:name w:val="Normal Table"/>
    <w:uiPriority w:val="99"/>
    <w:semiHidden/>
    <w:unhideWhenUsed/>
    <w:tblPr>
      <w:tblInd w:w="0" w:type="dxa"/>
      <w:tblCellMar>
        <w:top w:w="0" w:type="dxa"/>
        <w:left w:w="108" w:type="dxa"/>
        <w:bottom w:w="0" w:type="dxa"/>
        <w:right w:w="108" w:type="dxa"/>
      </w:tblCellMar>
    </w:tblPr>
  </w:style>
  <w:style w:type="numbering" w:default="1" w:styleId="Senlista">
    <w:name w:val="No List"/>
    <w:uiPriority w:val="99"/>
    <w:semiHidden/>
    <w:unhideWhenUsed/>
  </w:style>
  <w:style w:type="character" w:customStyle="1" w:styleId="Numeracindelias">
    <w:name w:val="Numeración de liñas"/>
  </w:style>
  <w:style w:type="paragraph" w:styleId="Ttulo">
    <w:name w:val="Title"/>
    <w:basedOn w:val="Normal"/>
    <w:next w:val="Textodocorpo"/>
    <w:qFormat/>
    <w:pPr>
      <w:keepNext/>
      <w:spacing w:before="240" w:after="120"/>
    </w:pPr>
    <w:rPr>
      <w:rFonts w:ascii="Liberation Sans" w:eastAsia="Microsoft YaHei" w:hAnsi="Liberation Sans" w:cs="Arial Unicode MS"/>
      <w:sz w:val="28"/>
      <w:szCs w:val="28"/>
    </w:rPr>
  </w:style>
  <w:style w:type="paragraph" w:styleId="Textodocorpo">
    <w:name w:val="Body Text"/>
    <w:basedOn w:val="Normal"/>
    <w:pPr>
      <w:spacing w:after="140" w:line="276" w:lineRule="auto"/>
    </w:pPr>
  </w:style>
  <w:style w:type="paragraph" w:styleId="Lista">
    <w:name w:val="List"/>
    <w:basedOn w:val="Textodocorpo"/>
    <w:rPr>
      <w:rFonts w:cs="Arial Unicode MS"/>
    </w:rPr>
  </w:style>
  <w:style w:type="paragraph" w:styleId="Lenda">
    <w:name w:val="caption"/>
    <w:basedOn w:val="Normal"/>
    <w:qFormat/>
    <w:pPr>
      <w:suppressLineNumbers/>
      <w:spacing w:before="120" w:after="120"/>
    </w:pPr>
    <w:rPr>
      <w:rFonts w:cs="Arial Unicode MS"/>
      <w:i/>
      <w:iCs/>
      <w:sz w:val="24"/>
      <w:szCs w:val="24"/>
    </w:rPr>
  </w:style>
  <w:style w:type="paragraph" w:customStyle="1" w:styleId="ndice">
    <w:name w:val="Índice"/>
    <w:basedOn w:val="Normal"/>
    <w:qFormat/>
    <w:pPr>
      <w:suppressLineNumbers/>
    </w:pPr>
    <w:rPr>
      <w:rFonts w:cs="Arial Unicode MS"/>
    </w:rPr>
  </w:style>
  <w:style w:type="paragraph" w:customStyle="1" w:styleId="dog-base-sangria">
    <w:name w:val="dog-base-sangria"/>
    <w:basedOn w:val="Normal"/>
    <w:qFormat/>
    <w:rsid w:val="00F355DD"/>
    <w:pPr>
      <w:spacing w:beforeAutospacing="1" w:afterAutospacing="1" w:line="240" w:lineRule="auto"/>
    </w:pPr>
    <w:rPr>
      <w:rFonts w:ascii="Times New Roman" w:eastAsia="Times New Roman" w:hAnsi="Times New Roman" w:cs="Times New Roman"/>
      <w:sz w:val="24"/>
      <w:szCs w:val="24"/>
      <w:lang w:eastAsia="es-ES"/>
    </w:rPr>
  </w:style>
  <w:style w:type="paragraph" w:styleId="Textodecomentario">
    <w:name w:val="annotation text"/>
    <w:basedOn w:val="Normal"/>
    <w:link w:val="TextodecomentarioCarc"/>
    <w:uiPriority w:val="99"/>
    <w:semiHidden/>
    <w:unhideWhenUsed/>
    <w:pPr>
      <w:spacing w:line="240" w:lineRule="auto"/>
    </w:pPr>
    <w:rPr>
      <w:sz w:val="20"/>
      <w:szCs w:val="20"/>
    </w:rPr>
  </w:style>
  <w:style w:type="character" w:customStyle="1" w:styleId="TextodecomentarioCarc">
    <w:name w:val="Texto de comentario Carác."/>
    <w:basedOn w:val="Tipodeletrapredefinidodopargrafo"/>
    <w:link w:val="Textodecomentario"/>
    <w:uiPriority w:val="99"/>
    <w:semiHidden/>
    <w:rPr>
      <w:sz w:val="20"/>
      <w:szCs w:val="20"/>
    </w:rPr>
  </w:style>
  <w:style w:type="character" w:styleId="Referenciadecomentario">
    <w:name w:val="annotation reference"/>
    <w:basedOn w:val="Tipodeletrapredefinidodopargrafo"/>
    <w:uiPriority w:val="99"/>
    <w:semiHidden/>
    <w:unhideWhenUsed/>
    <w:rPr>
      <w:sz w:val="16"/>
      <w:szCs w:val="16"/>
    </w:rPr>
  </w:style>
  <w:style w:type="paragraph" w:styleId="Textodeglobo">
    <w:name w:val="Balloon Text"/>
    <w:basedOn w:val="Normal"/>
    <w:link w:val="TextodegloboCarc"/>
    <w:uiPriority w:val="99"/>
    <w:semiHidden/>
    <w:unhideWhenUsed/>
    <w:rsid w:val="00493FEE"/>
    <w:pPr>
      <w:spacing w:after="0" w:line="240" w:lineRule="auto"/>
    </w:pPr>
    <w:rPr>
      <w:rFonts w:ascii="Segoe UI" w:hAnsi="Segoe UI" w:cs="Segoe UI"/>
      <w:sz w:val="18"/>
      <w:szCs w:val="18"/>
    </w:rPr>
  </w:style>
  <w:style w:type="character" w:customStyle="1" w:styleId="TextodegloboCarc">
    <w:name w:val="Texto de globo Carác."/>
    <w:basedOn w:val="Tipodeletrapredefinidodopargrafo"/>
    <w:link w:val="Textodeglobo"/>
    <w:uiPriority w:val="99"/>
    <w:semiHidden/>
    <w:rsid w:val="00493F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863</Words>
  <Characters>4751</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Xunta de Galicia</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Carballal Paradela, María Dolores</dc:creator>
  <dc:description/>
  <cp:lastModifiedBy>Pérez Santos, María Uxía</cp:lastModifiedBy>
  <cp:revision>7</cp:revision>
  <dcterms:created xsi:type="dcterms:W3CDTF">2022-11-11T13:04:00Z</dcterms:created>
  <dcterms:modified xsi:type="dcterms:W3CDTF">2022-11-11T13:11:00Z</dcterms:modified>
  <dc:language>es-ES</dc:language>
</cp:coreProperties>
</file>